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8FCFA4-A9A3-4378-80F9-FA8A0C0958D0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